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3F34746C" w:rsidR="007958D4" w:rsidRPr="007958D4" w:rsidRDefault="00D52EB2" w:rsidP="007958D4">
            <w:pPr>
              <w:shd w:val="clear" w:color="auto" w:fill="FFFFFF" w:themeFill="background1"/>
              <w:jc w:val="center"/>
              <w:rPr>
                <w:rFonts w:ascii="Cambria" w:hAnsi="Cambria"/>
                <w:b/>
                <w:sz w:val="24"/>
                <w:szCs w:val="24"/>
              </w:rPr>
            </w:pPr>
            <w:r>
              <w:rPr>
                <w:rFonts w:ascii="Cambria" w:hAnsi="Cambria"/>
                <w:b/>
                <w:sz w:val="24"/>
                <w:szCs w:val="24"/>
              </w:rPr>
              <w:t>Module 8</w:t>
            </w:r>
            <w:r w:rsidR="007958D4" w:rsidRPr="007958D4">
              <w:rPr>
                <w:rFonts w:ascii="Cambria" w:hAnsi="Cambria"/>
                <w:b/>
                <w:sz w:val="24"/>
                <w:szCs w:val="24"/>
              </w:rPr>
              <w:t xml:space="preserve">: </w:t>
            </w:r>
            <w:r>
              <w:rPr>
                <w:rFonts w:ascii="Cambria" w:hAnsi="Cambria"/>
                <w:b/>
                <w:sz w:val="24"/>
                <w:szCs w:val="24"/>
              </w:rPr>
              <w:t>CASE STUDIES</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3FA49532" w14:textId="1C956335" w:rsidR="00D52EB2" w:rsidRDefault="00D52EB2" w:rsidP="00D52EB2">
            <w:pPr>
              <w:tabs>
                <w:tab w:val="left" w:pos="1320"/>
              </w:tabs>
              <w:jc w:val="both"/>
              <w:rPr>
                <w:rFonts w:ascii="Cambria" w:hAnsi="Cambria"/>
                <w:sz w:val="24"/>
                <w:szCs w:val="24"/>
              </w:rPr>
            </w:pPr>
            <w:r w:rsidRPr="00D52EB2">
              <w:rPr>
                <w:rFonts w:ascii="Cambria" w:hAnsi="Cambria"/>
                <w:sz w:val="24"/>
                <w:szCs w:val="24"/>
              </w:rPr>
              <w:t xml:space="preserve">This module </w:t>
            </w:r>
            <w:proofErr w:type="gramStart"/>
            <w:r w:rsidRPr="00D52EB2">
              <w:rPr>
                <w:rFonts w:ascii="Cambria" w:hAnsi="Cambria"/>
                <w:sz w:val="24"/>
                <w:szCs w:val="24"/>
              </w:rPr>
              <w:t>is designed</w:t>
            </w:r>
            <w:proofErr w:type="gramEnd"/>
            <w:r w:rsidRPr="00D52EB2">
              <w:rPr>
                <w:rFonts w:ascii="Cambria" w:hAnsi="Cambria"/>
                <w:sz w:val="24"/>
                <w:szCs w:val="24"/>
              </w:rPr>
              <w:t xml:space="preserve"> to provide students with a comprehensive understanding of sustainable farming practices and their real-world applications across the Mediterranean region. Case studies encourage students to think critically by evaluating the strengths and weaknesses of various approaches, considering alternative perspectives, and making evidence-based judgments.</w:t>
            </w:r>
          </w:p>
          <w:p w14:paraId="2A0BBB5A" w14:textId="77777777" w:rsidR="00D52EB2" w:rsidRPr="00D52EB2" w:rsidRDefault="00D52EB2" w:rsidP="00D52EB2">
            <w:pPr>
              <w:tabs>
                <w:tab w:val="left" w:pos="1320"/>
              </w:tabs>
              <w:jc w:val="both"/>
              <w:rPr>
                <w:rFonts w:ascii="Cambria" w:hAnsi="Cambria"/>
                <w:sz w:val="24"/>
                <w:szCs w:val="24"/>
              </w:rPr>
            </w:pPr>
          </w:p>
          <w:p w14:paraId="58CB42A3" w14:textId="77777777" w:rsidR="00336DBF" w:rsidRDefault="00D52EB2" w:rsidP="00D52EB2">
            <w:pPr>
              <w:jc w:val="both"/>
              <w:rPr>
                <w:rFonts w:ascii="Cambria" w:hAnsi="Cambria"/>
                <w:sz w:val="24"/>
                <w:szCs w:val="24"/>
              </w:rPr>
            </w:pPr>
            <w:r w:rsidRPr="00D52EB2">
              <w:rPr>
                <w:rFonts w:ascii="Cambria" w:hAnsi="Cambria"/>
                <w:sz w:val="24"/>
                <w:szCs w:val="24"/>
              </w:rPr>
              <w:t xml:space="preserve">Through the analysis of case studies, students will explore the farming practices of sustainability and understand the main principles of sustainability, developing the skills needed to address contemporary environmental and social challenges. The module will cover a range of practices, including reduced or no till farming, agroforestry, cover crops, residue management and manure application. </w:t>
            </w:r>
          </w:p>
          <w:p w14:paraId="401C923A" w14:textId="33BC45B7" w:rsidR="00D52EB2" w:rsidRPr="007958D4" w:rsidRDefault="00D52EB2" w:rsidP="00D52EB2">
            <w:pPr>
              <w:jc w:val="both"/>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356CF4">
        <w:trPr>
          <w:trHeight w:val="2497"/>
        </w:trPr>
        <w:tc>
          <w:tcPr>
            <w:tcW w:w="9360" w:type="dxa"/>
            <w:tcBorders>
              <w:top w:val="nil"/>
            </w:tcBorders>
          </w:tcPr>
          <w:p w14:paraId="6218A036" w14:textId="77777777" w:rsidR="00D52EB2" w:rsidRPr="00D52EB2" w:rsidRDefault="00D52EB2" w:rsidP="00D52EB2">
            <w:pPr>
              <w:pStyle w:val="ListParagraph"/>
              <w:numPr>
                <w:ilvl w:val="0"/>
                <w:numId w:val="1"/>
              </w:numPr>
              <w:spacing w:line="256" w:lineRule="auto"/>
              <w:jc w:val="both"/>
              <w:rPr>
                <w:rFonts w:ascii="Cambria" w:hAnsi="Cambria"/>
                <w:sz w:val="24"/>
                <w:szCs w:val="24"/>
              </w:rPr>
            </w:pPr>
            <w:r w:rsidRPr="00D52EB2">
              <w:rPr>
                <w:rFonts w:ascii="Cambria" w:hAnsi="Cambria"/>
                <w:sz w:val="24"/>
                <w:szCs w:val="24"/>
              </w:rPr>
              <w:t>Learn about sustainable practices through real case studies</w:t>
            </w:r>
          </w:p>
          <w:p w14:paraId="65C717AC" w14:textId="77777777" w:rsidR="00D52EB2" w:rsidRPr="00D52EB2" w:rsidRDefault="00D52EB2" w:rsidP="00D52EB2">
            <w:pPr>
              <w:pStyle w:val="ListParagraph"/>
              <w:numPr>
                <w:ilvl w:val="0"/>
                <w:numId w:val="1"/>
              </w:numPr>
              <w:spacing w:line="256" w:lineRule="auto"/>
              <w:jc w:val="both"/>
              <w:rPr>
                <w:rFonts w:ascii="Cambria" w:hAnsi="Cambria"/>
                <w:sz w:val="24"/>
                <w:szCs w:val="24"/>
              </w:rPr>
            </w:pPr>
            <w:r w:rsidRPr="00D52EB2">
              <w:rPr>
                <w:rFonts w:ascii="Cambria" w:hAnsi="Cambria"/>
                <w:sz w:val="24"/>
                <w:szCs w:val="24"/>
              </w:rPr>
              <w:t xml:space="preserve">Understand the benefits derived from the application sustainable practices </w:t>
            </w:r>
          </w:p>
          <w:p w14:paraId="21E41C72" w14:textId="77777777" w:rsidR="00D52EB2" w:rsidRPr="00D52EB2" w:rsidRDefault="00D52EB2" w:rsidP="00D52EB2">
            <w:pPr>
              <w:pStyle w:val="ListParagraph"/>
              <w:numPr>
                <w:ilvl w:val="0"/>
                <w:numId w:val="1"/>
              </w:numPr>
              <w:spacing w:line="256" w:lineRule="auto"/>
              <w:jc w:val="both"/>
              <w:rPr>
                <w:rFonts w:ascii="Cambria" w:hAnsi="Cambria"/>
                <w:sz w:val="24"/>
                <w:szCs w:val="24"/>
              </w:rPr>
            </w:pPr>
            <w:r w:rsidRPr="00D52EB2">
              <w:rPr>
                <w:rFonts w:ascii="Cambria" w:hAnsi="Cambria"/>
                <w:sz w:val="24"/>
                <w:szCs w:val="24"/>
              </w:rPr>
              <w:t>Explore the potential of gaining profit from carbon positive practices</w:t>
            </w:r>
          </w:p>
          <w:p w14:paraId="4723F7A9" w14:textId="77777777" w:rsidR="00D52EB2" w:rsidRPr="00D52EB2" w:rsidRDefault="00D52EB2" w:rsidP="00D52EB2">
            <w:pPr>
              <w:pStyle w:val="ListParagraph"/>
              <w:numPr>
                <w:ilvl w:val="0"/>
                <w:numId w:val="1"/>
              </w:numPr>
              <w:spacing w:line="256" w:lineRule="auto"/>
              <w:jc w:val="both"/>
              <w:rPr>
                <w:rFonts w:ascii="Cambria" w:hAnsi="Cambria"/>
                <w:sz w:val="24"/>
                <w:szCs w:val="24"/>
              </w:rPr>
            </w:pPr>
            <w:r w:rsidRPr="00D52EB2">
              <w:rPr>
                <w:rFonts w:ascii="Cambria" w:hAnsi="Cambria"/>
                <w:sz w:val="24"/>
                <w:szCs w:val="24"/>
              </w:rPr>
              <w:t>Identify the extend of which soil health and carbon storage can improve</w:t>
            </w:r>
          </w:p>
          <w:p w14:paraId="05E076C1" w14:textId="49E0FBB7" w:rsidR="00336DBF" w:rsidRPr="007958D4" w:rsidRDefault="00D52EB2" w:rsidP="00D52EB2">
            <w:pPr>
              <w:numPr>
                <w:ilvl w:val="0"/>
                <w:numId w:val="1"/>
              </w:numPr>
              <w:spacing w:line="256" w:lineRule="auto"/>
              <w:jc w:val="both"/>
              <w:rPr>
                <w:rFonts w:ascii="Cambria" w:hAnsi="Cambria"/>
                <w:sz w:val="24"/>
                <w:szCs w:val="24"/>
              </w:rPr>
            </w:pPr>
            <w:r w:rsidRPr="00D52EB2">
              <w:rPr>
                <w:rFonts w:ascii="Cambria" w:hAnsi="Cambria"/>
                <w:sz w:val="24"/>
                <w:szCs w:val="24"/>
              </w:rPr>
              <w:t>Bridge the gap between theory and practice in the module by investigating real-world examples</w:t>
            </w:r>
          </w:p>
        </w:tc>
      </w:tr>
      <w:tr w:rsidR="00336DBF" w:rsidRPr="007958D4" w14:paraId="6E3B9FFF" w14:textId="77777777" w:rsidTr="00356CF4">
        <w:tc>
          <w:tcPr>
            <w:tcW w:w="9360" w:type="dxa"/>
            <w:shd w:val="clear" w:color="auto" w:fill="F2F2F2" w:themeFill="background1" w:themeFillShade="F2"/>
          </w:tcPr>
          <w:p w14:paraId="2A2F28C4" w14:textId="3C0FC136" w:rsidR="00336DBF" w:rsidRPr="007958D4" w:rsidRDefault="00FC4CE2" w:rsidP="007958D4">
            <w:pPr>
              <w:rPr>
                <w:rFonts w:ascii="Cambria" w:hAnsi="Cambria"/>
                <w:sz w:val="24"/>
                <w:szCs w:val="24"/>
              </w:rPr>
            </w:pPr>
            <w:r>
              <w:rPr>
                <w:rFonts w:ascii="Cambria" w:hAnsi="Cambria"/>
                <w:b/>
                <w:bCs/>
                <w:sz w:val="24"/>
                <w:szCs w:val="24"/>
              </w:rPr>
              <w:t>Literature</w:t>
            </w:r>
          </w:p>
        </w:tc>
      </w:tr>
      <w:tr w:rsidR="00356CF4" w:rsidRPr="007958D4" w14:paraId="038C148D" w14:textId="77777777" w:rsidTr="00356CF4">
        <w:tc>
          <w:tcPr>
            <w:tcW w:w="9360" w:type="dxa"/>
          </w:tcPr>
          <w:p w14:paraId="18796107" w14:textId="4343EA22" w:rsidR="00356CF4" w:rsidRPr="00356CF4" w:rsidRDefault="00D52EB2" w:rsidP="00356CF4">
            <w:pPr>
              <w:jc w:val="both"/>
              <w:rPr>
                <w:rFonts w:ascii="Cambria" w:hAnsi="Cambria"/>
                <w:sz w:val="24"/>
                <w:szCs w:val="24"/>
              </w:rPr>
            </w:pPr>
            <w:r w:rsidRPr="00D52EB2">
              <w:rPr>
                <w:rFonts w:ascii="Cambria" w:hAnsi="Cambria"/>
                <w:sz w:val="24"/>
                <w:szCs w:val="24"/>
              </w:rPr>
              <w:t>Impact of alley cropping agroforestry on stocks, forms and spatial distribution of soil organic carbon — A case study in a Mediterranean context</w:t>
            </w:r>
            <w:r>
              <w:rPr>
                <w:rFonts w:ascii="Cambria" w:hAnsi="Cambria"/>
                <w:sz w:val="24"/>
                <w:szCs w:val="24"/>
              </w:rPr>
              <w:t xml:space="preserve"> </w:t>
            </w:r>
          </w:p>
        </w:tc>
      </w:tr>
      <w:tr w:rsidR="00356CF4" w:rsidRPr="007958D4" w14:paraId="075C57BA" w14:textId="77777777" w:rsidTr="00356CF4">
        <w:tc>
          <w:tcPr>
            <w:tcW w:w="9360" w:type="dxa"/>
          </w:tcPr>
          <w:p w14:paraId="71EC0A84" w14:textId="75CED964" w:rsidR="00356CF4" w:rsidRPr="00356CF4" w:rsidRDefault="00D52EB2" w:rsidP="00356CF4">
            <w:pPr>
              <w:jc w:val="both"/>
              <w:rPr>
                <w:rFonts w:ascii="Cambria" w:hAnsi="Cambria"/>
                <w:sz w:val="24"/>
                <w:szCs w:val="24"/>
              </w:rPr>
            </w:pPr>
            <w:r w:rsidRPr="00D52EB2">
              <w:rPr>
                <w:rFonts w:ascii="Cambria" w:hAnsi="Cambria"/>
                <w:sz w:val="24"/>
                <w:szCs w:val="24"/>
              </w:rPr>
              <w:t>Reduced tillage as an alternative to no-tillage under Mediterranean conditions: A case study</w:t>
            </w:r>
          </w:p>
        </w:tc>
      </w:tr>
      <w:tr w:rsidR="00356CF4" w:rsidRPr="007958D4" w14:paraId="20039170" w14:textId="77777777" w:rsidTr="0020066C">
        <w:tc>
          <w:tcPr>
            <w:tcW w:w="9360" w:type="dxa"/>
          </w:tcPr>
          <w:p w14:paraId="02D427B2" w14:textId="603D62B7" w:rsidR="00356CF4" w:rsidRPr="00356CF4" w:rsidRDefault="00D52EB2" w:rsidP="007958D4">
            <w:pPr>
              <w:jc w:val="both"/>
              <w:rPr>
                <w:rFonts w:ascii="Cambria" w:hAnsi="Cambria"/>
                <w:sz w:val="24"/>
                <w:szCs w:val="24"/>
              </w:rPr>
            </w:pPr>
            <w:r w:rsidRPr="00D52EB2">
              <w:rPr>
                <w:rFonts w:ascii="Cambria" w:hAnsi="Cambria"/>
                <w:sz w:val="24"/>
                <w:szCs w:val="24"/>
              </w:rPr>
              <w:t>Management of agricultural soils for greenhouse gas mitigation: Learning from a case study in NE Spain</w:t>
            </w:r>
          </w:p>
        </w:tc>
      </w:tr>
    </w:tbl>
    <w:p w14:paraId="632F11AA" w14:textId="1EC7F7D3" w:rsidR="00760F0B" w:rsidRDefault="00760F0B">
      <w:bookmarkStart w:id="0" w:name="_GoBack"/>
      <w:bookmarkEnd w:id="0"/>
    </w:p>
    <w:sectPr w:rsidR="00760F0B" w:rsidSect="00356CF4">
      <w:headerReference w:type="default" r:id="rId7"/>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EAE2" w14:textId="77777777" w:rsidR="003711DB" w:rsidRDefault="003711DB" w:rsidP="007958D4">
      <w:pPr>
        <w:spacing w:after="0" w:line="240" w:lineRule="auto"/>
      </w:pPr>
      <w:r>
        <w:separator/>
      </w:r>
    </w:p>
  </w:endnote>
  <w:endnote w:type="continuationSeparator" w:id="0">
    <w:p w14:paraId="64D5977F" w14:textId="77777777" w:rsidR="003711DB" w:rsidRDefault="003711DB"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A365C" w14:textId="77777777" w:rsidR="003711DB" w:rsidRDefault="003711DB" w:rsidP="007958D4">
      <w:pPr>
        <w:spacing w:after="0" w:line="240" w:lineRule="auto"/>
      </w:pPr>
      <w:r>
        <w:separator/>
      </w:r>
    </w:p>
  </w:footnote>
  <w:footnote w:type="continuationSeparator" w:id="0">
    <w:p w14:paraId="1FC0ACCD" w14:textId="77777777" w:rsidR="003711DB" w:rsidRDefault="003711DB"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4614B"/>
    <w:rsid w:val="000B1D4A"/>
    <w:rsid w:val="000B26AB"/>
    <w:rsid w:val="000C352B"/>
    <w:rsid w:val="00151AEA"/>
    <w:rsid w:val="00184599"/>
    <w:rsid w:val="002E08DE"/>
    <w:rsid w:val="002F1558"/>
    <w:rsid w:val="00336DBF"/>
    <w:rsid w:val="00346F22"/>
    <w:rsid w:val="00356CF4"/>
    <w:rsid w:val="003711DB"/>
    <w:rsid w:val="00440199"/>
    <w:rsid w:val="004F1590"/>
    <w:rsid w:val="00547891"/>
    <w:rsid w:val="00560B9F"/>
    <w:rsid w:val="00586D65"/>
    <w:rsid w:val="005D79CA"/>
    <w:rsid w:val="00621433"/>
    <w:rsid w:val="006B185D"/>
    <w:rsid w:val="006B54A4"/>
    <w:rsid w:val="007014E1"/>
    <w:rsid w:val="00760F0B"/>
    <w:rsid w:val="00777792"/>
    <w:rsid w:val="007958D4"/>
    <w:rsid w:val="007A3B65"/>
    <w:rsid w:val="008409B5"/>
    <w:rsid w:val="0084391E"/>
    <w:rsid w:val="008948B4"/>
    <w:rsid w:val="008F51EE"/>
    <w:rsid w:val="009546D2"/>
    <w:rsid w:val="00B00527"/>
    <w:rsid w:val="00B04E46"/>
    <w:rsid w:val="00B54B1D"/>
    <w:rsid w:val="00BE70BB"/>
    <w:rsid w:val="00C3411E"/>
    <w:rsid w:val="00C81D50"/>
    <w:rsid w:val="00C91795"/>
    <w:rsid w:val="00CA07E4"/>
    <w:rsid w:val="00D07F9C"/>
    <w:rsid w:val="00D10FA8"/>
    <w:rsid w:val="00D52EB2"/>
    <w:rsid w:val="00D53C3A"/>
    <w:rsid w:val="00D75D37"/>
    <w:rsid w:val="00E654CA"/>
    <w:rsid w:val="00EF0800"/>
    <w:rsid w:val="00F379BC"/>
    <w:rsid w:val="00F41FE4"/>
    <w:rsid w:val="00FA54B7"/>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41</cp:revision>
  <dcterms:created xsi:type="dcterms:W3CDTF">2023-06-30T14:51:00Z</dcterms:created>
  <dcterms:modified xsi:type="dcterms:W3CDTF">2023-09-25T20:11:00Z</dcterms:modified>
</cp:coreProperties>
</file>